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E43B9D">
        <w:rPr>
          <w:rFonts w:ascii="Arial" w:eastAsia="Times New Roman" w:hAnsi="Arial" w:cs="Arial"/>
          <w:bCs/>
          <w:color w:val="000000"/>
          <w:sz w:val="24"/>
          <w:szCs w:val="24"/>
          <w:lang w:eastAsia="de-DE"/>
        </w:rPr>
        <w:t>Benchmarking</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E43B9D" w:rsidRDefault="00E43B9D" w:rsidP="00E43B9D">
      <w:pPr>
        <w:spacing w:line="240" w:lineRule="auto"/>
        <w:jc w:val="both"/>
        <w:rPr>
          <w:rFonts w:ascii="Arial" w:hAnsi="Arial" w:cs="Arial"/>
          <w:color w:val="000000"/>
          <w:sz w:val="24"/>
          <w:szCs w:val="24"/>
        </w:rPr>
      </w:pPr>
      <w:r>
        <w:rPr>
          <w:rFonts w:ascii="Arial" w:hAnsi="Arial" w:cs="Arial"/>
          <w:color w:val="000000"/>
          <w:sz w:val="24"/>
          <w:szCs w:val="24"/>
        </w:rPr>
        <w:t>1. Welche wichtigen Benchmarks gibt es in einer Steuerkanzlei?</w:t>
      </w:r>
    </w:p>
    <w:p w:rsidR="005873C7" w:rsidRPr="005873C7" w:rsidRDefault="005873C7" w:rsidP="005873C7">
      <w:pPr>
        <w:spacing w:line="240" w:lineRule="auto"/>
        <w:jc w:val="both"/>
        <w:rPr>
          <w:rFonts w:ascii="Arial" w:hAnsi="Arial" w:cs="Arial"/>
          <w:color w:val="000000"/>
          <w:sz w:val="24"/>
          <w:szCs w:val="24"/>
        </w:rPr>
      </w:pPr>
      <w:r w:rsidRPr="005873C7">
        <w:rPr>
          <w:rFonts w:ascii="Arial" w:hAnsi="Arial" w:cs="Arial"/>
          <w:color w:val="000000"/>
          <w:sz w:val="24"/>
          <w:szCs w:val="24"/>
        </w:rPr>
        <w:t>2. Welchen Nutzen hat Benchmarking für Steuerkanzleien?</w:t>
      </w:r>
    </w:p>
    <w:p w:rsidR="00C43D38" w:rsidRDefault="00C43D38" w:rsidP="00231911">
      <w:pPr>
        <w:spacing w:line="240" w:lineRule="auto"/>
        <w:jc w:val="both"/>
        <w:rPr>
          <w:rFonts w:ascii="Arial" w:hAnsi="Arial" w:cs="Arial"/>
          <w:color w:val="000000"/>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14BB3" w:rsidRDefault="00B14BB3" w:rsidP="004843BD">
      <w:pPr>
        <w:spacing w:after="0" w:line="240" w:lineRule="auto"/>
        <w:jc w:val="both"/>
        <w:rPr>
          <w:rFonts w:ascii="Arial" w:eastAsia="Times New Roman" w:hAnsi="Arial" w:cs="Arial"/>
          <w:color w:val="000000"/>
          <w:sz w:val="24"/>
          <w:szCs w:val="24"/>
          <w:lang w:eastAsia="de-DE"/>
        </w:rPr>
      </w:pPr>
    </w:p>
    <w:p w:rsidR="00E43B9D" w:rsidRPr="00E43B9D" w:rsidRDefault="00E43B9D" w:rsidP="00E43B9D">
      <w:pPr>
        <w:spacing w:line="240" w:lineRule="auto"/>
        <w:jc w:val="both"/>
        <w:rPr>
          <w:rFonts w:ascii="Arial" w:hAnsi="Arial" w:cs="Arial"/>
          <w:b/>
          <w:color w:val="000000"/>
          <w:sz w:val="24"/>
          <w:szCs w:val="24"/>
          <w:u w:val="single"/>
        </w:rPr>
      </w:pPr>
      <w:r w:rsidRPr="00E43B9D">
        <w:rPr>
          <w:rFonts w:ascii="Arial" w:hAnsi="Arial" w:cs="Arial"/>
          <w:b/>
          <w:color w:val="000000"/>
          <w:sz w:val="24"/>
          <w:szCs w:val="24"/>
          <w:u w:val="single"/>
        </w:rPr>
        <w:t>1. Welche wichtigen Benchmarks gibt es in einer Steuerkanzlei?</w:t>
      </w:r>
    </w:p>
    <w:p w:rsidR="00D87F21" w:rsidRDefault="00D87F21" w:rsidP="00D87F21">
      <w:pPr>
        <w:pStyle w:val="txt"/>
        <w:spacing w:line="240" w:lineRule="auto"/>
        <w:jc w:val="both"/>
        <w:rPr>
          <w:rFonts w:ascii="Arial" w:hAnsi="Arial" w:cs="Arial"/>
          <w:sz w:val="24"/>
          <w:szCs w:val="24"/>
        </w:rPr>
      </w:pPr>
      <w:r w:rsidRPr="00B42DF9">
        <w:rPr>
          <w:rFonts w:ascii="Arial" w:hAnsi="Arial" w:cs="Arial"/>
          <w:sz w:val="24"/>
          <w:szCs w:val="24"/>
        </w:rPr>
        <w:t xml:space="preserve">Ein weiteres wichtiges Thema ist das Benchmarking für Steuerkanzleien – die Messung kanzleieigener Geschäftszahlen und deren Vergleich mit den Geschäftszahlen anderer, vergleichbar großer Steuerkanzleien aus ganz Deutschland. Die Steuerkanzlei Luzius arbeitet im Bereich des Benchmarkings mit der Firma Weigert + Kunde Unternehmensberatung GmbH zusammen. </w:t>
      </w:r>
    </w:p>
    <w:p w:rsidR="00D87F21" w:rsidRDefault="00D87F21" w:rsidP="00D87F21">
      <w:pPr>
        <w:pStyle w:val="txt"/>
        <w:spacing w:line="240" w:lineRule="auto"/>
        <w:jc w:val="both"/>
        <w:rPr>
          <w:rFonts w:ascii="Arial" w:hAnsi="Arial" w:cs="Arial"/>
          <w:sz w:val="24"/>
          <w:szCs w:val="24"/>
        </w:rPr>
      </w:pPr>
    </w:p>
    <w:p w:rsidR="00D87F21" w:rsidRDefault="00D87F21" w:rsidP="00D87F21">
      <w:pPr>
        <w:pStyle w:val="txt"/>
        <w:spacing w:line="240" w:lineRule="auto"/>
        <w:jc w:val="both"/>
        <w:rPr>
          <w:rFonts w:ascii="Arial" w:hAnsi="Arial" w:cs="Arial"/>
          <w:sz w:val="24"/>
          <w:szCs w:val="24"/>
        </w:rPr>
      </w:pPr>
      <w:r w:rsidRPr="00B42DF9">
        <w:rPr>
          <w:rFonts w:ascii="Arial" w:hAnsi="Arial" w:cs="Arial"/>
          <w:sz w:val="24"/>
          <w:szCs w:val="24"/>
        </w:rPr>
        <w:t>Nachfolgend möchte ich die wichtigsten Benchmarking-Zahlen von Weigert + Kunde im Überblick darstellen. Benchmarking heißt konkret, dass bereits die besten Steuerkanzleien diese hervorragenden Zahlen erreicht haben. Es soll Ansporn für Sie sein, auch diese Zahlen zu erreichen oder zu übertreffen:</w:t>
      </w:r>
    </w:p>
    <w:p w:rsidR="00D87F21" w:rsidRPr="00B42DF9" w:rsidRDefault="00D87F21" w:rsidP="00D87F21">
      <w:pPr>
        <w:pStyle w:val="txt"/>
        <w:spacing w:line="240" w:lineRule="auto"/>
        <w:jc w:val="both"/>
        <w:rPr>
          <w:rFonts w:ascii="Arial" w:hAnsi="Arial" w:cs="Arial"/>
          <w:sz w:val="24"/>
          <w:szCs w:val="24"/>
        </w:rPr>
      </w:pP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Meine persönlich wichtigste Kennzahl: Umsatz/abrechenbare Std.: Über 120 Euro Umsatz/Std. für Fibu + Lohn + JA + Steuern ohne Sonderleistungen bei jedem Kunden pro Kalenderjahr</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Buchführung: 100 Buchungen/Std. zu 1,20–1,50 Euro Umsatz/Buchungszeile, über 105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Jahresabschluss: Über 140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Buchführung und Jahresabschluss zusammen im Durchschnitt: Über 120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Lohn: 6 Min. Zeitaufwand/Abrechnung, über 140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Einkommensteuer: Über 130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Produktivität der Kanzlei: 68 % abrechenbare Zeiten von der Gesamtarbeitszeit</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lastRenderedPageBreak/>
        <w:t>Gesamtleistung/angefallene Std. unter 1 Mio. Umsatz der Kanzlei: 60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Gesamtleistung/angefallene Std. 1–2 Mio. Umsatz der Kanzlei: 65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Gesamtleistung/angefallene Std. über 2 Mio. Umsatz der Kanzlei: 70 Euro Umsatz/Std.</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Umsatz/Mitarbeiter: Über 140.000 Euro Umsatz/Vollzeit-Mitarbeiter</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Personalkosten: Unter 40 % vom Umsatz</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Sachkosten (keine Benchmarks, sondern Durchschnittswerte): &lt; 20 % Raumkosten: 3 % vom Umsatz auf dem Land, 5 % in Städten, 8 % in Großstädten, 10 % in Metropolen wie München oder Hamburg</w:t>
      </w:r>
    </w:p>
    <w:p w:rsidR="00D87F21" w:rsidRPr="00B42DF9" w:rsidRDefault="00D87F21" w:rsidP="00D87F21">
      <w:pPr>
        <w:pStyle w:val="L1aFolgeabsatz"/>
        <w:spacing w:line="240" w:lineRule="auto"/>
        <w:jc w:val="both"/>
        <w:rPr>
          <w:rFonts w:ascii="Arial" w:hAnsi="Arial" w:cs="Arial"/>
          <w:sz w:val="24"/>
          <w:szCs w:val="24"/>
        </w:rPr>
      </w:pPr>
      <w:r w:rsidRPr="00B42DF9">
        <w:rPr>
          <w:rFonts w:ascii="Arial" w:hAnsi="Arial" w:cs="Arial"/>
          <w:sz w:val="24"/>
          <w:szCs w:val="24"/>
        </w:rPr>
        <w:t>EDV-Hard-/Softwarekosten: unter 3 % vom Umsatz, wenn IT-Betreuung im eigenen Haus (ohne Gehalt der IT-Mitarbeiter), 3–5 % mit DATEV, 5–7 % mit DATEV ASP</w:t>
      </w:r>
    </w:p>
    <w:p w:rsidR="00D87F21" w:rsidRPr="00B42DF9" w:rsidRDefault="00D87F21" w:rsidP="00D87F21">
      <w:pPr>
        <w:pStyle w:val="L1aFolgeabsatz"/>
        <w:spacing w:line="240" w:lineRule="auto"/>
        <w:jc w:val="both"/>
        <w:rPr>
          <w:rFonts w:ascii="Arial" w:hAnsi="Arial" w:cs="Arial"/>
          <w:sz w:val="24"/>
          <w:szCs w:val="24"/>
        </w:rPr>
      </w:pPr>
      <w:r w:rsidRPr="00B42DF9">
        <w:rPr>
          <w:rFonts w:ascii="Arial" w:hAnsi="Arial" w:cs="Arial"/>
          <w:sz w:val="24"/>
          <w:szCs w:val="24"/>
        </w:rPr>
        <w:t>Marketing: über 3 % vom Umsatz, 7–8 % bei Neugründungen</w:t>
      </w:r>
    </w:p>
    <w:p w:rsidR="00123C49" w:rsidRDefault="00D87F21" w:rsidP="00D87F21">
      <w:pPr>
        <w:pStyle w:val="L1aFolgeabsatz"/>
        <w:spacing w:line="240" w:lineRule="auto"/>
        <w:jc w:val="both"/>
        <w:rPr>
          <w:rFonts w:ascii="Arial" w:hAnsi="Arial" w:cs="Arial"/>
          <w:sz w:val="24"/>
          <w:szCs w:val="24"/>
        </w:rPr>
      </w:pPr>
      <w:r w:rsidRPr="00B42DF9">
        <w:rPr>
          <w:rFonts w:ascii="Arial" w:hAnsi="Arial" w:cs="Arial"/>
          <w:sz w:val="24"/>
          <w:szCs w:val="24"/>
        </w:rPr>
        <w:t>Fortbildung: über 3 % vom Umsatz (10 Fo</w:t>
      </w:r>
      <w:r w:rsidR="00123C49">
        <w:rPr>
          <w:rFonts w:ascii="Arial" w:hAnsi="Arial" w:cs="Arial"/>
          <w:sz w:val="24"/>
          <w:szCs w:val="24"/>
        </w:rPr>
        <w:t>rtbildungstage je Mitarbeiter)</w:t>
      </w:r>
    </w:p>
    <w:p w:rsidR="00D87F21" w:rsidRPr="00B42DF9" w:rsidRDefault="00D87F21" w:rsidP="00D87F21">
      <w:pPr>
        <w:pStyle w:val="L1aFolgeabsatz"/>
        <w:spacing w:line="240" w:lineRule="auto"/>
        <w:jc w:val="both"/>
        <w:rPr>
          <w:rFonts w:ascii="Arial" w:hAnsi="Arial" w:cs="Arial"/>
          <w:sz w:val="24"/>
          <w:szCs w:val="24"/>
        </w:rPr>
      </w:pPr>
      <w:r w:rsidRPr="00B42DF9">
        <w:rPr>
          <w:rFonts w:ascii="Arial" w:hAnsi="Arial" w:cs="Arial"/>
          <w:sz w:val="24"/>
          <w:szCs w:val="24"/>
        </w:rPr>
        <w:t>Forderungsbestandsquote: unter 5 % vom Umsatz</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Liquiditätsbestandsqu</w:t>
      </w:r>
      <w:bookmarkStart w:id="0" w:name="_GoBack"/>
      <w:bookmarkEnd w:id="0"/>
      <w:r w:rsidRPr="00B42DF9">
        <w:rPr>
          <w:rFonts w:ascii="Arial" w:hAnsi="Arial" w:cs="Arial"/>
          <w:sz w:val="24"/>
          <w:szCs w:val="24"/>
        </w:rPr>
        <w:t>ote: 25 % der jährlichen Gesamtkosten an liquiden Mitteln</w:t>
      </w:r>
    </w:p>
    <w:p w:rsidR="00D87F21" w:rsidRPr="00B42DF9" w:rsidRDefault="00D87F21" w:rsidP="00D87F21">
      <w:pPr>
        <w:pStyle w:val="L1a"/>
        <w:spacing w:line="240" w:lineRule="auto"/>
        <w:ind w:left="340" w:hanging="340"/>
        <w:jc w:val="both"/>
        <w:rPr>
          <w:rFonts w:ascii="Arial" w:hAnsi="Arial" w:cs="Arial"/>
          <w:sz w:val="24"/>
          <w:szCs w:val="24"/>
        </w:rPr>
      </w:pPr>
      <w:r w:rsidRPr="00B42DF9">
        <w:rPr>
          <w:rFonts w:ascii="Arial" w:hAnsi="Arial" w:cs="Arial"/>
          <w:sz w:val="24"/>
          <w:szCs w:val="24"/>
        </w:rPr>
        <w:t>Risikostreuung: Max. 5 % des Jahresumsatzes sollte auf 1 Kunden entfallen.</w:t>
      </w:r>
    </w:p>
    <w:p w:rsidR="00D87F21" w:rsidRPr="00B42DF9" w:rsidRDefault="00D87F21" w:rsidP="00D87F21">
      <w:pPr>
        <w:spacing w:line="240" w:lineRule="auto"/>
        <w:jc w:val="both"/>
        <w:rPr>
          <w:rFonts w:ascii="Arial" w:hAnsi="Arial" w:cs="Arial"/>
          <w:sz w:val="24"/>
          <w:szCs w:val="24"/>
          <w:u w:val="single"/>
        </w:rPr>
      </w:pPr>
    </w:p>
    <w:p w:rsidR="00D87F21" w:rsidRPr="00E43B9D" w:rsidRDefault="00D87F21" w:rsidP="00D87F21">
      <w:pPr>
        <w:spacing w:line="240" w:lineRule="auto"/>
        <w:jc w:val="both"/>
        <w:rPr>
          <w:rFonts w:ascii="Arial" w:hAnsi="Arial" w:cs="Arial"/>
          <w:b/>
          <w:color w:val="000000"/>
          <w:sz w:val="24"/>
          <w:szCs w:val="24"/>
          <w:u w:val="single"/>
        </w:rPr>
      </w:pPr>
      <w:r>
        <w:rPr>
          <w:rFonts w:ascii="Arial" w:hAnsi="Arial" w:cs="Arial"/>
          <w:b/>
          <w:color w:val="000000"/>
          <w:sz w:val="24"/>
          <w:szCs w:val="24"/>
          <w:u w:val="single"/>
        </w:rPr>
        <w:t>2</w:t>
      </w:r>
      <w:r w:rsidRPr="00E43B9D">
        <w:rPr>
          <w:rFonts w:ascii="Arial" w:hAnsi="Arial" w:cs="Arial"/>
          <w:b/>
          <w:color w:val="000000"/>
          <w:sz w:val="24"/>
          <w:szCs w:val="24"/>
          <w:u w:val="single"/>
        </w:rPr>
        <w:t>. Welche</w:t>
      </w:r>
      <w:r>
        <w:rPr>
          <w:rFonts w:ascii="Arial" w:hAnsi="Arial" w:cs="Arial"/>
          <w:b/>
          <w:color w:val="000000"/>
          <w:sz w:val="24"/>
          <w:szCs w:val="24"/>
          <w:u w:val="single"/>
        </w:rPr>
        <w:t xml:space="preserve">n Nutzen hat </w:t>
      </w:r>
      <w:r w:rsidRPr="00E43B9D">
        <w:rPr>
          <w:rFonts w:ascii="Arial" w:hAnsi="Arial" w:cs="Arial"/>
          <w:b/>
          <w:color w:val="000000"/>
          <w:sz w:val="24"/>
          <w:szCs w:val="24"/>
          <w:u w:val="single"/>
        </w:rPr>
        <w:t>Benchmark</w:t>
      </w:r>
      <w:r>
        <w:rPr>
          <w:rFonts w:ascii="Arial" w:hAnsi="Arial" w:cs="Arial"/>
          <w:b/>
          <w:color w:val="000000"/>
          <w:sz w:val="24"/>
          <w:szCs w:val="24"/>
          <w:u w:val="single"/>
        </w:rPr>
        <w:t>ing für</w:t>
      </w:r>
      <w:r w:rsidRPr="00E43B9D">
        <w:rPr>
          <w:rFonts w:ascii="Arial" w:hAnsi="Arial" w:cs="Arial"/>
          <w:b/>
          <w:color w:val="000000"/>
          <w:sz w:val="24"/>
          <w:szCs w:val="24"/>
          <w:u w:val="single"/>
        </w:rPr>
        <w:t xml:space="preserve"> Steuerkanzlei</w:t>
      </w:r>
      <w:r>
        <w:rPr>
          <w:rFonts w:ascii="Arial" w:hAnsi="Arial" w:cs="Arial"/>
          <w:b/>
          <w:color w:val="000000"/>
          <w:sz w:val="24"/>
          <w:szCs w:val="24"/>
          <w:u w:val="single"/>
        </w:rPr>
        <w:t>en</w:t>
      </w:r>
      <w:r w:rsidRPr="00E43B9D">
        <w:rPr>
          <w:rFonts w:ascii="Arial" w:hAnsi="Arial" w:cs="Arial"/>
          <w:b/>
          <w:color w:val="000000"/>
          <w:sz w:val="24"/>
          <w:szCs w:val="24"/>
          <w:u w:val="single"/>
        </w:rPr>
        <w:t>?</w:t>
      </w:r>
    </w:p>
    <w:p w:rsidR="00D87F21" w:rsidRPr="00D87F21" w:rsidRDefault="00D87F21" w:rsidP="00D87F21">
      <w:pPr>
        <w:pStyle w:val="Listenabsatz"/>
        <w:numPr>
          <w:ilvl w:val="0"/>
          <w:numId w:val="6"/>
        </w:numPr>
        <w:spacing w:line="240" w:lineRule="auto"/>
        <w:jc w:val="both"/>
        <w:rPr>
          <w:rFonts w:ascii="Arial" w:hAnsi="Arial" w:cs="Arial"/>
          <w:sz w:val="24"/>
          <w:szCs w:val="24"/>
        </w:rPr>
      </w:pPr>
      <w:r w:rsidRPr="00D87F21">
        <w:rPr>
          <w:rFonts w:ascii="Arial" w:hAnsi="Arial" w:cs="Arial"/>
          <w:sz w:val="24"/>
          <w:szCs w:val="24"/>
        </w:rPr>
        <w:t>Keine Betriebsblindheit</w:t>
      </w:r>
    </w:p>
    <w:p w:rsidR="00D87F21" w:rsidRPr="00D87F21" w:rsidRDefault="00D87F21" w:rsidP="00D87F21">
      <w:pPr>
        <w:pStyle w:val="Listenabsatz"/>
        <w:numPr>
          <w:ilvl w:val="0"/>
          <w:numId w:val="6"/>
        </w:numPr>
        <w:spacing w:line="240" w:lineRule="auto"/>
        <w:jc w:val="both"/>
        <w:rPr>
          <w:rFonts w:ascii="Arial" w:hAnsi="Arial" w:cs="Arial"/>
          <w:sz w:val="24"/>
          <w:szCs w:val="24"/>
        </w:rPr>
      </w:pPr>
      <w:r w:rsidRPr="00D87F21">
        <w:rPr>
          <w:rFonts w:ascii="Arial" w:hAnsi="Arial" w:cs="Arial"/>
          <w:sz w:val="24"/>
          <w:szCs w:val="24"/>
        </w:rPr>
        <w:t>sinnvolle Maßnahmen werden eingeleitet, wenn die Benchmarks nicht erreicht werden</w:t>
      </w:r>
    </w:p>
    <w:p w:rsidR="008E1F5D" w:rsidRPr="008E1F5D" w:rsidRDefault="008E1F5D" w:rsidP="008E1F5D">
      <w:pPr>
        <w:spacing w:line="240" w:lineRule="auto"/>
        <w:jc w:val="both"/>
        <w:rPr>
          <w:rFonts w:ascii="Arial" w:hAnsi="Arial" w:cs="Arial"/>
          <w:color w:val="000000"/>
          <w:sz w:val="24"/>
          <w:szCs w:val="24"/>
        </w:rPr>
      </w:pPr>
    </w:p>
    <w:p w:rsidR="000141A3" w:rsidRPr="00380068" w:rsidRDefault="000141A3" w:rsidP="003F24F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CA39CE" w:rsidRDefault="00E43B9D" w:rsidP="00CA39C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1 5 6</w:t>
    </w:r>
  </w:p>
  <w:p w:rsidR="00CA39CE" w:rsidRPr="003B7B0E" w:rsidRDefault="00CA39CE" w:rsidP="00CA39C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Kanzlei-Finanzen</w:t>
    </w:r>
  </w:p>
  <w:p w:rsidR="004E0E89" w:rsidRPr="0008557D" w:rsidRDefault="008E1F5D" w:rsidP="00CA39CE">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E43B9D">
      <w:rPr>
        <w:rFonts w:ascii="Arial" w:eastAsia="Times New Roman" w:hAnsi="Arial" w:cs="Arial"/>
        <w:bCs/>
        <w:color w:val="000000"/>
        <w:sz w:val="24"/>
        <w:szCs w:val="24"/>
        <w:lang w:eastAsia="de-DE"/>
      </w:rPr>
      <w:t>Benchmarking</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23C49">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23C49">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C74"/>
    <w:multiLevelType w:val="hybridMultilevel"/>
    <w:tmpl w:val="9B9EA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BD3EE0"/>
    <w:multiLevelType w:val="hybridMultilevel"/>
    <w:tmpl w:val="BC42B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B071F"/>
    <w:multiLevelType w:val="hybridMultilevel"/>
    <w:tmpl w:val="ADE22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4631BF"/>
    <w:multiLevelType w:val="hybridMultilevel"/>
    <w:tmpl w:val="6B389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2A68"/>
    <w:rsid w:val="000141A3"/>
    <w:rsid w:val="00017F2B"/>
    <w:rsid w:val="00021046"/>
    <w:rsid w:val="00021329"/>
    <w:rsid w:val="000279B1"/>
    <w:rsid w:val="00027E6D"/>
    <w:rsid w:val="00030FC2"/>
    <w:rsid w:val="000321D1"/>
    <w:rsid w:val="00032BF6"/>
    <w:rsid w:val="00035E2C"/>
    <w:rsid w:val="00036146"/>
    <w:rsid w:val="00036697"/>
    <w:rsid w:val="0004169C"/>
    <w:rsid w:val="0004209A"/>
    <w:rsid w:val="00045DAC"/>
    <w:rsid w:val="00050669"/>
    <w:rsid w:val="00052629"/>
    <w:rsid w:val="00055B23"/>
    <w:rsid w:val="0005714B"/>
    <w:rsid w:val="00060367"/>
    <w:rsid w:val="00060381"/>
    <w:rsid w:val="0006126F"/>
    <w:rsid w:val="00061633"/>
    <w:rsid w:val="00061917"/>
    <w:rsid w:val="000625E3"/>
    <w:rsid w:val="0006454C"/>
    <w:rsid w:val="0006551C"/>
    <w:rsid w:val="0007569B"/>
    <w:rsid w:val="000756D7"/>
    <w:rsid w:val="0007648B"/>
    <w:rsid w:val="000775A5"/>
    <w:rsid w:val="00081D46"/>
    <w:rsid w:val="0008557D"/>
    <w:rsid w:val="0008566C"/>
    <w:rsid w:val="00085C7F"/>
    <w:rsid w:val="00091012"/>
    <w:rsid w:val="0009114E"/>
    <w:rsid w:val="00092EF7"/>
    <w:rsid w:val="00093960"/>
    <w:rsid w:val="00096FF4"/>
    <w:rsid w:val="000A439D"/>
    <w:rsid w:val="000A7F04"/>
    <w:rsid w:val="000B416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2B69"/>
    <w:rsid w:val="001233D3"/>
    <w:rsid w:val="00123C49"/>
    <w:rsid w:val="00127352"/>
    <w:rsid w:val="0013029A"/>
    <w:rsid w:val="0013163E"/>
    <w:rsid w:val="00132149"/>
    <w:rsid w:val="00140709"/>
    <w:rsid w:val="001410A5"/>
    <w:rsid w:val="00153162"/>
    <w:rsid w:val="00154984"/>
    <w:rsid w:val="00155201"/>
    <w:rsid w:val="00160188"/>
    <w:rsid w:val="00163AD3"/>
    <w:rsid w:val="0016562E"/>
    <w:rsid w:val="00166C72"/>
    <w:rsid w:val="00174A31"/>
    <w:rsid w:val="00177DE4"/>
    <w:rsid w:val="00180347"/>
    <w:rsid w:val="00180880"/>
    <w:rsid w:val="001864DE"/>
    <w:rsid w:val="00186932"/>
    <w:rsid w:val="0018749C"/>
    <w:rsid w:val="001900B8"/>
    <w:rsid w:val="00190C88"/>
    <w:rsid w:val="00191553"/>
    <w:rsid w:val="00195646"/>
    <w:rsid w:val="001958B1"/>
    <w:rsid w:val="00197DCE"/>
    <w:rsid w:val="001A0A8F"/>
    <w:rsid w:val="001A2ACA"/>
    <w:rsid w:val="001A72B8"/>
    <w:rsid w:val="001B0C36"/>
    <w:rsid w:val="001B2563"/>
    <w:rsid w:val="001B2FD3"/>
    <w:rsid w:val="001B37A9"/>
    <w:rsid w:val="001B3F0C"/>
    <w:rsid w:val="001B6535"/>
    <w:rsid w:val="001C41A6"/>
    <w:rsid w:val="001C44CA"/>
    <w:rsid w:val="001C6C97"/>
    <w:rsid w:val="001D2FE5"/>
    <w:rsid w:val="001D336E"/>
    <w:rsid w:val="001D4AA8"/>
    <w:rsid w:val="001D722E"/>
    <w:rsid w:val="001E03D1"/>
    <w:rsid w:val="001E0706"/>
    <w:rsid w:val="001E211B"/>
    <w:rsid w:val="001E6279"/>
    <w:rsid w:val="001E6724"/>
    <w:rsid w:val="001E77F6"/>
    <w:rsid w:val="001F27A5"/>
    <w:rsid w:val="001F36F1"/>
    <w:rsid w:val="0020187F"/>
    <w:rsid w:val="00204A0E"/>
    <w:rsid w:val="00216C34"/>
    <w:rsid w:val="00220582"/>
    <w:rsid w:val="00220BD0"/>
    <w:rsid w:val="00221F96"/>
    <w:rsid w:val="002234E0"/>
    <w:rsid w:val="0022426F"/>
    <w:rsid w:val="00226FE1"/>
    <w:rsid w:val="00231911"/>
    <w:rsid w:val="0023293E"/>
    <w:rsid w:val="00233131"/>
    <w:rsid w:val="00234C8B"/>
    <w:rsid w:val="002421BB"/>
    <w:rsid w:val="00243A6D"/>
    <w:rsid w:val="00250272"/>
    <w:rsid w:val="00260189"/>
    <w:rsid w:val="00261C4E"/>
    <w:rsid w:val="00262F4F"/>
    <w:rsid w:val="00264C84"/>
    <w:rsid w:val="00265B4C"/>
    <w:rsid w:val="00273C05"/>
    <w:rsid w:val="00280846"/>
    <w:rsid w:val="00284062"/>
    <w:rsid w:val="00286782"/>
    <w:rsid w:val="002919B5"/>
    <w:rsid w:val="00292B13"/>
    <w:rsid w:val="002945F1"/>
    <w:rsid w:val="0029515A"/>
    <w:rsid w:val="002A0292"/>
    <w:rsid w:val="002A2030"/>
    <w:rsid w:val="002A2398"/>
    <w:rsid w:val="002A2CED"/>
    <w:rsid w:val="002A3982"/>
    <w:rsid w:val="002A3CA9"/>
    <w:rsid w:val="002B44DF"/>
    <w:rsid w:val="002B6178"/>
    <w:rsid w:val="002B6562"/>
    <w:rsid w:val="002C0018"/>
    <w:rsid w:val="002C0722"/>
    <w:rsid w:val="002C109E"/>
    <w:rsid w:val="002C48E0"/>
    <w:rsid w:val="002C612E"/>
    <w:rsid w:val="002C7E30"/>
    <w:rsid w:val="002D0060"/>
    <w:rsid w:val="002D3A08"/>
    <w:rsid w:val="002D40AE"/>
    <w:rsid w:val="002D74FB"/>
    <w:rsid w:val="002E53C0"/>
    <w:rsid w:val="002E61D6"/>
    <w:rsid w:val="002E7C05"/>
    <w:rsid w:val="002E7FBB"/>
    <w:rsid w:val="002F000F"/>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2EB3"/>
    <w:rsid w:val="00353039"/>
    <w:rsid w:val="00353089"/>
    <w:rsid w:val="003537C2"/>
    <w:rsid w:val="003659FE"/>
    <w:rsid w:val="003703F1"/>
    <w:rsid w:val="00373AF4"/>
    <w:rsid w:val="00374267"/>
    <w:rsid w:val="00380068"/>
    <w:rsid w:val="00383757"/>
    <w:rsid w:val="003840E0"/>
    <w:rsid w:val="0038451C"/>
    <w:rsid w:val="00391A3C"/>
    <w:rsid w:val="00394318"/>
    <w:rsid w:val="00396D85"/>
    <w:rsid w:val="00397B36"/>
    <w:rsid w:val="003A13BD"/>
    <w:rsid w:val="003A15A9"/>
    <w:rsid w:val="003A2E7D"/>
    <w:rsid w:val="003A30C6"/>
    <w:rsid w:val="003A5D70"/>
    <w:rsid w:val="003A67B8"/>
    <w:rsid w:val="003B3210"/>
    <w:rsid w:val="003B678C"/>
    <w:rsid w:val="003B7B0E"/>
    <w:rsid w:val="003C34CD"/>
    <w:rsid w:val="003C4A76"/>
    <w:rsid w:val="003C70AC"/>
    <w:rsid w:val="003D269F"/>
    <w:rsid w:val="003D3D05"/>
    <w:rsid w:val="003E52FD"/>
    <w:rsid w:val="003E6D03"/>
    <w:rsid w:val="003E74C5"/>
    <w:rsid w:val="003F12CD"/>
    <w:rsid w:val="003F226D"/>
    <w:rsid w:val="003F24FF"/>
    <w:rsid w:val="003F5072"/>
    <w:rsid w:val="003F5E0F"/>
    <w:rsid w:val="003F6613"/>
    <w:rsid w:val="003F7A9E"/>
    <w:rsid w:val="004033B9"/>
    <w:rsid w:val="0040716E"/>
    <w:rsid w:val="00411994"/>
    <w:rsid w:val="00411B82"/>
    <w:rsid w:val="00411B8E"/>
    <w:rsid w:val="00413079"/>
    <w:rsid w:val="00413D9D"/>
    <w:rsid w:val="00414890"/>
    <w:rsid w:val="00430FA7"/>
    <w:rsid w:val="00431FA4"/>
    <w:rsid w:val="00433AA7"/>
    <w:rsid w:val="00437E25"/>
    <w:rsid w:val="00440D71"/>
    <w:rsid w:val="0044245F"/>
    <w:rsid w:val="004434D2"/>
    <w:rsid w:val="00444474"/>
    <w:rsid w:val="00446389"/>
    <w:rsid w:val="0045562A"/>
    <w:rsid w:val="00455CAF"/>
    <w:rsid w:val="00456E66"/>
    <w:rsid w:val="0046048F"/>
    <w:rsid w:val="00461826"/>
    <w:rsid w:val="00461F19"/>
    <w:rsid w:val="00463E27"/>
    <w:rsid w:val="00463E6F"/>
    <w:rsid w:val="004717AD"/>
    <w:rsid w:val="00474498"/>
    <w:rsid w:val="00475A1E"/>
    <w:rsid w:val="00476743"/>
    <w:rsid w:val="0047784B"/>
    <w:rsid w:val="00477D68"/>
    <w:rsid w:val="004811DB"/>
    <w:rsid w:val="004843AA"/>
    <w:rsid w:val="004843BD"/>
    <w:rsid w:val="00485495"/>
    <w:rsid w:val="00492704"/>
    <w:rsid w:val="0049382E"/>
    <w:rsid w:val="00493F47"/>
    <w:rsid w:val="00495FF0"/>
    <w:rsid w:val="004A109F"/>
    <w:rsid w:val="004A5A92"/>
    <w:rsid w:val="004B20AC"/>
    <w:rsid w:val="004B23ED"/>
    <w:rsid w:val="004B3119"/>
    <w:rsid w:val="004C197C"/>
    <w:rsid w:val="004C1F51"/>
    <w:rsid w:val="004C2816"/>
    <w:rsid w:val="004C5308"/>
    <w:rsid w:val="004D06EE"/>
    <w:rsid w:val="004D1D88"/>
    <w:rsid w:val="004D595A"/>
    <w:rsid w:val="004D5F4B"/>
    <w:rsid w:val="004D691C"/>
    <w:rsid w:val="004D7964"/>
    <w:rsid w:val="004E0E89"/>
    <w:rsid w:val="004E5449"/>
    <w:rsid w:val="004E7414"/>
    <w:rsid w:val="004E7CC0"/>
    <w:rsid w:val="004F0F47"/>
    <w:rsid w:val="004F208E"/>
    <w:rsid w:val="004F7D1A"/>
    <w:rsid w:val="00501364"/>
    <w:rsid w:val="00505112"/>
    <w:rsid w:val="005148DC"/>
    <w:rsid w:val="00515962"/>
    <w:rsid w:val="00520011"/>
    <w:rsid w:val="00521E57"/>
    <w:rsid w:val="005220BE"/>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896"/>
    <w:rsid w:val="00561966"/>
    <w:rsid w:val="00564C4E"/>
    <w:rsid w:val="005651B7"/>
    <w:rsid w:val="005701E5"/>
    <w:rsid w:val="00571D21"/>
    <w:rsid w:val="00580B2D"/>
    <w:rsid w:val="00580E3E"/>
    <w:rsid w:val="0058147F"/>
    <w:rsid w:val="00582077"/>
    <w:rsid w:val="0058318D"/>
    <w:rsid w:val="005852FC"/>
    <w:rsid w:val="00585428"/>
    <w:rsid w:val="00585900"/>
    <w:rsid w:val="005873C7"/>
    <w:rsid w:val="00594CA3"/>
    <w:rsid w:val="00595E65"/>
    <w:rsid w:val="00597334"/>
    <w:rsid w:val="005A2EE9"/>
    <w:rsid w:val="005A339D"/>
    <w:rsid w:val="005A44E5"/>
    <w:rsid w:val="005A536E"/>
    <w:rsid w:val="005A6219"/>
    <w:rsid w:val="005A7840"/>
    <w:rsid w:val="005B1717"/>
    <w:rsid w:val="005B5F4C"/>
    <w:rsid w:val="005C3878"/>
    <w:rsid w:val="005C3D59"/>
    <w:rsid w:val="005C6DA6"/>
    <w:rsid w:val="005D09DB"/>
    <w:rsid w:val="005D1573"/>
    <w:rsid w:val="005D3704"/>
    <w:rsid w:val="005D6EFC"/>
    <w:rsid w:val="005E06AE"/>
    <w:rsid w:val="005E3C49"/>
    <w:rsid w:val="005F0857"/>
    <w:rsid w:val="005F5271"/>
    <w:rsid w:val="005F5F06"/>
    <w:rsid w:val="005F7341"/>
    <w:rsid w:val="005F778E"/>
    <w:rsid w:val="00600058"/>
    <w:rsid w:val="00600CCB"/>
    <w:rsid w:val="006023F0"/>
    <w:rsid w:val="00611FDD"/>
    <w:rsid w:val="00613304"/>
    <w:rsid w:val="00613922"/>
    <w:rsid w:val="00614666"/>
    <w:rsid w:val="00615B4B"/>
    <w:rsid w:val="00616F4F"/>
    <w:rsid w:val="00617584"/>
    <w:rsid w:val="00623ADB"/>
    <w:rsid w:val="0063085A"/>
    <w:rsid w:val="00630AAC"/>
    <w:rsid w:val="0063713C"/>
    <w:rsid w:val="00640822"/>
    <w:rsid w:val="0064115B"/>
    <w:rsid w:val="00642676"/>
    <w:rsid w:val="00646672"/>
    <w:rsid w:val="00646E43"/>
    <w:rsid w:val="006515D2"/>
    <w:rsid w:val="00662FF9"/>
    <w:rsid w:val="00663D81"/>
    <w:rsid w:val="00672249"/>
    <w:rsid w:val="006727BE"/>
    <w:rsid w:val="0067298B"/>
    <w:rsid w:val="00674CB6"/>
    <w:rsid w:val="006770A4"/>
    <w:rsid w:val="00682F6C"/>
    <w:rsid w:val="006832BF"/>
    <w:rsid w:val="00685294"/>
    <w:rsid w:val="00690736"/>
    <w:rsid w:val="00691B2F"/>
    <w:rsid w:val="00691FC5"/>
    <w:rsid w:val="006A1BC3"/>
    <w:rsid w:val="006A1E63"/>
    <w:rsid w:val="006A33F9"/>
    <w:rsid w:val="006A3C1F"/>
    <w:rsid w:val="006A45FF"/>
    <w:rsid w:val="006A6700"/>
    <w:rsid w:val="006A6C76"/>
    <w:rsid w:val="006A7C61"/>
    <w:rsid w:val="006B287A"/>
    <w:rsid w:val="006B3BF2"/>
    <w:rsid w:val="006B46DB"/>
    <w:rsid w:val="006B685F"/>
    <w:rsid w:val="006C0BED"/>
    <w:rsid w:val="006D6B97"/>
    <w:rsid w:val="006E40D7"/>
    <w:rsid w:val="006E63AB"/>
    <w:rsid w:val="006F3EBE"/>
    <w:rsid w:val="006F461C"/>
    <w:rsid w:val="006F4637"/>
    <w:rsid w:val="006F76BA"/>
    <w:rsid w:val="0070097C"/>
    <w:rsid w:val="007019F1"/>
    <w:rsid w:val="00703590"/>
    <w:rsid w:val="00710CAA"/>
    <w:rsid w:val="00711DDB"/>
    <w:rsid w:val="00712F24"/>
    <w:rsid w:val="0071429D"/>
    <w:rsid w:val="00715A25"/>
    <w:rsid w:val="00716912"/>
    <w:rsid w:val="00721BE6"/>
    <w:rsid w:val="00723A5B"/>
    <w:rsid w:val="00725DC1"/>
    <w:rsid w:val="007271B0"/>
    <w:rsid w:val="00732473"/>
    <w:rsid w:val="00732827"/>
    <w:rsid w:val="0073298F"/>
    <w:rsid w:val="0073373E"/>
    <w:rsid w:val="00733B7D"/>
    <w:rsid w:val="0074725E"/>
    <w:rsid w:val="007539FD"/>
    <w:rsid w:val="00757324"/>
    <w:rsid w:val="007574FC"/>
    <w:rsid w:val="00763EA3"/>
    <w:rsid w:val="00766BE3"/>
    <w:rsid w:val="0077064A"/>
    <w:rsid w:val="007718CB"/>
    <w:rsid w:val="0077344A"/>
    <w:rsid w:val="00775277"/>
    <w:rsid w:val="007763A9"/>
    <w:rsid w:val="00776F23"/>
    <w:rsid w:val="00777A08"/>
    <w:rsid w:val="00777C25"/>
    <w:rsid w:val="0078186B"/>
    <w:rsid w:val="00783228"/>
    <w:rsid w:val="0078355C"/>
    <w:rsid w:val="00783BD4"/>
    <w:rsid w:val="0078520B"/>
    <w:rsid w:val="00786AC9"/>
    <w:rsid w:val="00797595"/>
    <w:rsid w:val="00797E74"/>
    <w:rsid w:val="007A0802"/>
    <w:rsid w:val="007A0FA0"/>
    <w:rsid w:val="007A2D3A"/>
    <w:rsid w:val="007A3AE9"/>
    <w:rsid w:val="007A48A2"/>
    <w:rsid w:val="007A54A4"/>
    <w:rsid w:val="007B3D69"/>
    <w:rsid w:val="007B3E76"/>
    <w:rsid w:val="007B4004"/>
    <w:rsid w:val="007B57E1"/>
    <w:rsid w:val="007B5EE1"/>
    <w:rsid w:val="007C2162"/>
    <w:rsid w:val="007C3395"/>
    <w:rsid w:val="007C4289"/>
    <w:rsid w:val="007C4F85"/>
    <w:rsid w:val="007C503C"/>
    <w:rsid w:val="007C6FD6"/>
    <w:rsid w:val="007D3290"/>
    <w:rsid w:val="007D5E03"/>
    <w:rsid w:val="007D7AA9"/>
    <w:rsid w:val="007E007D"/>
    <w:rsid w:val="007E17FC"/>
    <w:rsid w:val="007E1E99"/>
    <w:rsid w:val="007E2D71"/>
    <w:rsid w:val="007E4798"/>
    <w:rsid w:val="007F20F1"/>
    <w:rsid w:val="007F4817"/>
    <w:rsid w:val="00802C29"/>
    <w:rsid w:val="00805BF1"/>
    <w:rsid w:val="00805E67"/>
    <w:rsid w:val="008068C7"/>
    <w:rsid w:val="00807D47"/>
    <w:rsid w:val="008121EC"/>
    <w:rsid w:val="0081228B"/>
    <w:rsid w:val="008132A0"/>
    <w:rsid w:val="00813776"/>
    <w:rsid w:val="008158AB"/>
    <w:rsid w:val="00816685"/>
    <w:rsid w:val="00820563"/>
    <w:rsid w:val="00820DED"/>
    <w:rsid w:val="0082727A"/>
    <w:rsid w:val="0083046F"/>
    <w:rsid w:val="008323A6"/>
    <w:rsid w:val="00832F35"/>
    <w:rsid w:val="00833C5C"/>
    <w:rsid w:val="00834B60"/>
    <w:rsid w:val="008352D8"/>
    <w:rsid w:val="008354FC"/>
    <w:rsid w:val="00842B9F"/>
    <w:rsid w:val="00843F99"/>
    <w:rsid w:val="008469B5"/>
    <w:rsid w:val="008474C7"/>
    <w:rsid w:val="008565C1"/>
    <w:rsid w:val="00856A18"/>
    <w:rsid w:val="00857833"/>
    <w:rsid w:val="00861131"/>
    <w:rsid w:val="008618E6"/>
    <w:rsid w:val="00864204"/>
    <w:rsid w:val="008669CB"/>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470"/>
    <w:rsid w:val="008B4AB4"/>
    <w:rsid w:val="008B67C5"/>
    <w:rsid w:val="008C3687"/>
    <w:rsid w:val="008C5D0D"/>
    <w:rsid w:val="008D05D4"/>
    <w:rsid w:val="008D2A01"/>
    <w:rsid w:val="008D30C8"/>
    <w:rsid w:val="008D33F0"/>
    <w:rsid w:val="008D42DE"/>
    <w:rsid w:val="008D5AF5"/>
    <w:rsid w:val="008D5DDC"/>
    <w:rsid w:val="008D658B"/>
    <w:rsid w:val="008D68FC"/>
    <w:rsid w:val="008D7284"/>
    <w:rsid w:val="008E054C"/>
    <w:rsid w:val="008E14A2"/>
    <w:rsid w:val="008E1F5D"/>
    <w:rsid w:val="008E2B5B"/>
    <w:rsid w:val="008E424C"/>
    <w:rsid w:val="008E43EE"/>
    <w:rsid w:val="008E4634"/>
    <w:rsid w:val="008E4B1D"/>
    <w:rsid w:val="008E52B9"/>
    <w:rsid w:val="008E6E84"/>
    <w:rsid w:val="008E756C"/>
    <w:rsid w:val="008F20CE"/>
    <w:rsid w:val="009047D4"/>
    <w:rsid w:val="0090569F"/>
    <w:rsid w:val="00905D4D"/>
    <w:rsid w:val="00911068"/>
    <w:rsid w:val="00911EB8"/>
    <w:rsid w:val="00916213"/>
    <w:rsid w:val="00916C3C"/>
    <w:rsid w:val="00921223"/>
    <w:rsid w:val="00922D19"/>
    <w:rsid w:val="009316BA"/>
    <w:rsid w:val="0093335E"/>
    <w:rsid w:val="00940F3C"/>
    <w:rsid w:val="00941127"/>
    <w:rsid w:val="00942042"/>
    <w:rsid w:val="009427E4"/>
    <w:rsid w:val="00951D44"/>
    <w:rsid w:val="00955AC5"/>
    <w:rsid w:val="009564CE"/>
    <w:rsid w:val="009615E4"/>
    <w:rsid w:val="00962769"/>
    <w:rsid w:val="009637D5"/>
    <w:rsid w:val="00964371"/>
    <w:rsid w:val="00971B1A"/>
    <w:rsid w:val="00971DB5"/>
    <w:rsid w:val="009733A9"/>
    <w:rsid w:val="00977C80"/>
    <w:rsid w:val="00977F97"/>
    <w:rsid w:val="00984FF5"/>
    <w:rsid w:val="00985CC8"/>
    <w:rsid w:val="00986565"/>
    <w:rsid w:val="0099012D"/>
    <w:rsid w:val="0099096B"/>
    <w:rsid w:val="00992A53"/>
    <w:rsid w:val="00993A6A"/>
    <w:rsid w:val="00993ECF"/>
    <w:rsid w:val="0099545A"/>
    <w:rsid w:val="00997801"/>
    <w:rsid w:val="009A2EAA"/>
    <w:rsid w:val="009A7ABD"/>
    <w:rsid w:val="009B21EB"/>
    <w:rsid w:val="009B49CF"/>
    <w:rsid w:val="009C217E"/>
    <w:rsid w:val="009C56DF"/>
    <w:rsid w:val="009D03CB"/>
    <w:rsid w:val="009D5E9E"/>
    <w:rsid w:val="009D6834"/>
    <w:rsid w:val="009E1CDC"/>
    <w:rsid w:val="009E3825"/>
    <w:rsid w:val="009F035C"/>
    <w:rsid w:val="009F5842"/>
    <w:rsid w:val="009F7EE5"/>
    <w:rsid w:val="00A0014C"/>
    <w:rsid w:val="00A002B7"/>
    <w:rsid w:val="00A04F6B"/>
    <w:rsid w:val="00A04F9A"/>
    <w:rsid w:val="00A11E0E"/>
    <w:rsid w:val="00A13143"/>
    <w:rsid w:val="00A13461"/>
    <w:rsid w:val="00A174BF"/>
    <w:rsid w:val="00A2532F"/>
    <w:rsid w:val="00A27DD0"/>
    <w:rsid w:val="00A34062"/>
    <w:rsid w:val="00A40A1D"/>
    <w:rsid w:val="00A50782"/>
    <w:rsid w:val="00A5144C"/>
    <w:rsid w:val="00A5479A"/>
    <w:rsid w:val="00A56C31"/>
    <w:rsid w:val="00A611E1"/>
    <w:rsid w:val="00A612B4"/>
    <w:rsid w:val="00A61A5E"/>
    <w:rsid w:val="00A76851"/>
    <w:rsid w:val="00A77302"/>
    <w:rsid w:val="00A81452"/>
    <w:rsid w:val="00A819E0"/>
    <w:rsid w:val="00A822EA"/>
    <w:rsid w:val="00A84CBF"/>
    <w:rsid w:val="00A87D23"/>
    <w:rsid w:val="00A908BA"/>
    <w:rsid w:val="00A94BA2"/>
    <w:rsid w:val="00AA0F5E"/>
    <w:rsid w:val="00AA3936"/>
    <w:rsid w:val="00AA78D3"/>
    <w:rsid w:val="00AA7C46"/>
    <w:rsid w:val="00AB0696"/>
    <w:rsid w:val="00AB7D61"/>
    <w:rsid w:val="00AC27E1"/>
    <w:rsid w:val="00AC2A54"/>
    <w:rsid w:val="00AC330D"/>
    <w:rsid w:val="00AD21AC"/>
    <w:rsid w:val="00AD4772"/>
    <w:rsid w:val="00AD56A6"/>
    <w:rsid w:val="00AD5845"/>
    <w:rsid w:val="00AD67F8"/>
    <w:rsid w:val="00AD70B8"/>
    <w:rsid w:val="00AE0580"/>
    <w:rsid w:val="00AE32AD"/>
    <w:rsid w:val="00AE40A5"/>
    <w:rsid w:val="00AE57F6"/>
    <w:rsid w:val="00AF3147"/>
    <w:rsid w:val="00AF5C4B"/>
    <w:rsid w:val="00B0555B"/>
    <w:rsid w:val="00B06981"/>
    <w:rsid w:val="00B07864"/>
    <w:rsid w:val="00B14BB3"/>
    <w:rsid w:val="00B162AF"/>
    <w:rsid w:val="00B2378A"/>
    <w:rsid w:val="00B31D14"/>
    <w:rsid w:val="00B324CB"/>
    <w:rsid w:val="00B344DE"/>
    <w:rsid w:val="00B34C02"/>
    <w:rsid w:val="00B34EE0"/>
    <w:rsid w:val="00B35542"/>
    <w:rsid w:val="00B35C73"/>
    <w:rsid w:val="00B415FA"/>
    <w:rsid w:val="00B47318"/>
    <w:rsid w:val="00B56566"/>
    <w:rsid w:val="00B6265E"/>
    <w:rsid w:val="00B706F2"/>
    <w:rsid w:val="00B717B7"/>
    <w:rsid w:val="00B71C87"/>
    <w:rsid w:val="00B77740"/>
    <w:rsid w:val="00B80DDB"/>
    <w:rsid w:val="00B857CB"/>
    <w:rsid w:val="00B90E49"/>
    <w:rsid w:val="00B9248B"/>
    <w:rsid w:val="00BA154F"/>
    <w:rsid w:val="00BA25BF"/>
    <w:rsid w:val="00BA3E0D"/>
    <w:rsid w:val="00BA5A5B"/>
    <w:rsid w:val="00BB03FC"/>
    <w:rsid w:val="00BB18F1"/>
    <w:rsid w:val="00BB24BC"/>
    <w:rsid w:val="00BB3251"/>
    <w:rsid w:val="00BB62AF"/>
    <w:rsid w:val="00BC44F4"/>
    <w:rsid w:val="00BC4FDE"/>
    <w:rsid w:val="00BE2EA5"/>
    <w:rsid w:val="00BE3601"/>
    <w:rsid w:val="00BE3AFB"/>
    <w:rsid w:val="00BE3E80"/>
    <w:rsid w:val="00BE7B9B"/>
    <w:rsid w:val="00BF15C9"/>
    <w:rsid w:val="00BF6039"/>
    <w:rsid w:val="00C02C42"/>
    <w:rsid w:val="00C075C1"/>
    <w:rsid w:val="00C07C67"/>
    <w:rsid w:val="00C10AF6"/>
    <w:rsid w:val="00C1130F"/>
    <w:rsid w:val="00C11DE3"/>
    <w:rsid w:val="00C11F9D"/>
    <w:rsid w:val="00C12B1B"/>
    <w:rsid w:val="00C12E66"/>
    <w:rsid w:val="00C13BC5"/>
    <w:rsid w:val="00C161BD"/>
    <w:rsid w:val="00C16797"/>
    <w:rsid w:val="00C22730"/>
    <w:rsid w:val="00C2438D"/>
    <w:rsid w:val="00C261E9"/>
    <w:rsid w:val="00C30A3A"/>
    <w:rsid w:val="00C336DE"/>
    <w:rsid w:val="00C350F1"/>
    <w:rsid w:val="00C40AF6"/>
    <w:rsid w:val="00C43350"/>
    <w:rsid w:val="00C437D4"/>
    <w:rsid w:val="00C43D38"/>
    <w:rsid w:val="00C534BD"/>
    <w:rsid w:val="00C53FF5"/>
    <w:rsid w:val="00C551D4"/>
    <w:rsid w:val="00C57206"/>
    <w:rsid w:val="00C5786C"/>
    <w:rsid w:val="00C57AA6"/>
    <w:rsid w:val="00C60E28"/>
    <w:rsid w:val="00C61A6E"/>
    <w:rsid w:val="00C64597"/>
    <w:rsid w:val="00C64698"/>
    <w:rsid w:val="00C64ECF"/>
    <w:rsid w:val="00C657B7"/>
    <w:rsid w:val="00C67A88"/>
    <w:rsid w:val="00C7010D"/>
    <w:rsid w:val="00C70AA8"/>
    <w:rsid w:val="00C70C33"/>
    <w:rsid w:val="00C73F8F"/>
    <w:rsid w:val="00C75878"/>
    <w:rsid w:val="00C8347C"/>
    <w:rsid w:val="00C85389"/>
    <w:rsid w:val="00C93193"/>
    <w:rsid w:val="00C963DF"/>
    <w:rsid w:val="00C96E1B"/>
    <w:rsid w:val="00CA08E5"/>
    <w:rsid w:val="00CA20C9"/>
    <w:rsid w:val="00CA39CE"/>
    <w:rsid w:val="00CA4E3D"/>
    <w:rsid w:val="00CA557E"/>
    <w:rsid w:val="00CA56AA"/>
    <w:rsid w:val="00CB06FC"/>
    <w:rsid w:val="00CB0DBB"/>
    <w:rsid w:val="00CB10CB"/>
    <w:rsid w:val="00CB1575"/>
    <w:rsid w:val="00CB182C"/>
    <w:rsid w:val="00CB2409"/>
    <w:rsid w:val="00CB27E3"/>
    <w:rsid w:val="00CB3121"/>
    <w:rsid w:val="00CB520C"/>
    <w:rsid w:val="00CB6966"/>
    <w:rsid w:val="00CC09EA"/>
    <w:rsid w:val="00CC17BB"/>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60E6"/>
    <w:rsid w:val="00D479DC"/>
    <w:rsid w:val="00D513FB"/>
    <w:rsid w:val="00D60947"/>
    <w:rsid w:val="00D6134B"/>
    <w:rsid w:val="00D61BF4"/>
    <w:rsid w:val="00D6233A"/>
    <w:rsid w:val="00D63B0B"/>
    <w:rsid w:val="00D70BDF"/>
    <w:rsid w:val="00D71B3F"/>
    <w:rsid w:val="00D72A9A"/>
    <w:rsid w:val="00D80748"/>
    <w:rsid w:val="00D80C69"/>
    <w:rsid w:val="00D8218D"/>
    <w:rsid w:val="00D82527"/>
    <w:rsid w:val="00D82A18"/>
    <w:rsid w:val="00D838F2"/>
    <w:rsid w:val="00D83F13"/>
    <w:rsid w:val="00D86A0D"/>
    <w:rsid w:val="00D87F21"/>
    <w:rsid w:val="00D91507"/>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6E60"/>
    <w:rsid w:val="00DD7699"/>
    <w:rsid w:val="00DE0780"/>
    <w:rsid w:val="00DE1B58"/>
    <w:rsid w:val="00DE3D0F"/>
    <w:rsid w:val="00DE728A"/>
    <w:rsid w:val="00DF12F5"/>
    <w:rsid w:val="00DF2D39"/>
    <w:rsid w:val="00DF3D5A"/>
    <w:rsid w:val="00DF4236"/>
    <w:rsid w:val="00DF51AC"/>
    <w:rsid w:val="00DF5FC7"/>
    <w:rsid w:val="00DF7886"/>
    <w:rsid w:val="00E00499"/>
    <w:rsid w:val="00E03BE3"/>
    <w:rsid w:val="00E134BD"/>
    <w:rsid w:val="00E154DF"/>
    <w:rsid w:val="00E203C1"/>
    <w:rsid w:val="00E2356E"/>
    <w:rsid w:val="00E25798"/>
    <w:rsid w:val="00E25FC6"/>
    <w:rsid w:val="00E266A2"/>
    <w:rsid w:val="00E269F0"/>
    <w:rsid w:val="00E30352"/>
    <w:rsid w:val="00E323A6"/>
    <w:rsid w:val="00E32885"/>
    <w:rsid w:val="00E3308D"/>
    <w:rsid w:val="00E42D5C"/>
    <w:rsid w:val="00E437E9"/>
    <w:rsid w:val="00E43927"/>
    <w:rsid w:val="00E43AA7"/>
    <w:rsid w:val="00E43B9D"/>
    <w:rsid w:val="00E44430"/>
    <w:rsid w:val="00E4642C"/>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357E"/>
    <w:rsid w:val="00E95736"/>
    <w:rsid w:val="00EA02F6"/>
    <w:rsid w:val="00EA1977"/>
    <w:rsid w:val="00EA2767"/>
    <w:rsid w:val="00EA4962"/>
    <w:rsid w:val="00EA5F3A"/>
    <w:rsid w:val="00EB520F"/>
    <w:rsid w:val="00EC0421"/>
    <w:rsid w:val="00EC1BEC"/>
    <w:rsid w:val="00EC6BCA"/>
    <w:rsid w:val="00ED0BD4"/>
    <w:rsid w:val="00ED0C6D"/>
    <w:rsid w:val="00ED1071"/>
    <w:rsid w:val="00ED47FF"/>
    <w:rsid w:val="00ED7048"/>
    <w:rsid w:val="00EE47A9"/>
    <w:rsid w:val="00EE6A72"/>
    <w:rsid w:val="00EF1F7F"/>
    <w:rsid w:val="00EF2AD4"/>
    <w:rsid w:val="00EF3DEA"/>
    <w:rsid w:val="00EF4719"/>
    <w:rsid w:val="00EF4CD6"/>
    <w:rsid w:val="00EF55D0"/>
    <w:rsid w:val="00EF65DA"/>
    <w:rsid w:val="00F044A2"/>
    <w:rsid w:val="00F05668"/>
    <w:rsid w:val="00F067F7"/>
    <w:rsid w:val="00F13C82"/>
    <w:rsid w:val="00F151AE"/>
    <w:rsid w:val="00F16F07"/>
    <w:rsid w:val="00F178B6"/>
    <w:rsid w:val="00F2554E"/>
    <w:rsid w:val="00F30AA3"/>
    <w:rsid w:val="00F31B27"/>
    <w:rsid w:val="00F32AF4"/>
    <w:rsid w:val="00F33069"/>
    <w:rsid w:val="00F34630"/>
    <w:rsid w:val="00F34D8E"/>
    <w:rsid w:val="00F35B15"/>
    <w:rsid w:val="00F35E7B"/>
    <w:rsid w:val="00F36F6B"/>
    <w:rsid w:val="00F41826"/>
    <w:rsid w:val="00F462A1"/>
    <w:rsid w:val="00F53003"/>
    <w:rsid w:val="00F54797"/>
    <w:rsid w:val="00F55DF6"/>
    <w:rsid w:val="00F56EE6"/>
    <w:rsid w:val="00F6015F"/>
    <w:rsid w:val="00F66C52"/>
    <w:rsid w:val="00F6719A"/>
    <w:rsid w:val="00F717E0"/>
    <w:rsid w:val="00F77494"/>
    <w:rsid w:val="00F82859"/>
    <w:rsid w:val="00F90D93"/>
    <w:rsid w:val="00F91BEE"/>
    <w:rsid w:val="00F969DD"/>
    <w:rsid w:val="00F96B41"/>
    <w:rsid w:val="00F97D72"/>
    <w:rsid w:val="00FA15F4"/>
    <w:rsid w:val="00FA1D6B"/>
    <w:rsid w:val="00FA5163"/>
    <w:rsid w:val="00FA6E77"/>
    <w:rsid w:val="00FB09A6"/>
    <w:rsid w:val="00FB2B32"/>
    <w:rsid w:val="00FB3DB2"/>
    <w:rsid w:val="00FB467C"/>
    <w:rsid w:val="00FC277A"/>
    <w:rsid w:val="00FC2AA8"/>
    <w:rsid w:val="00FC3D56"/>
    <w:rsid w:val="00FC5D9E"/>
    <w:rsid w:val="00FC74B5"/>
    <w:rsid w:val="00FD4A65"/>
    <w:rsid w:val="00FD4F72"/>
    <w:rsid w:val="00FD606C"/>
    <w:rsid w:val="00FE5325"/>
    <w:rsid w:val="00FF11F4"/>
    <w:rsid w:val="00FF1EE9"/>
    <w:rsid w:val="00FF24EE"/>
    <w:rsid w:val="00FF24F6"/>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1D425C15"/>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paragraph" w:customStyle="1" w:styleId="L1b">
    <w:name w:val="L1b"/>
    <w:basedOn w:val="Standard"/>
    <w:qFormat/>
    <w:rsid w:val="00843F99"/>
    <w:pPr>
      <w:numPr>
        <w:numId w:val="2"/>
      </w:numPr>
      <w:spacing w:after="0" w:line="360" w:lineRule="auto"/>
      <w:ind w:left="697" w:hanging="340"/>
    </w:pPr>
    <w:rPr>
      <w:rFonts w:ascii="Times New Roman" w:eastAsia="Times New Roman" w:hAnsi="Times New Roman" w:cs="Times New Roman"/>
      <w:szCs w:val="20"/>
      <w:lang w:eastAsia="de-DE"/>
    </w:rPr>
  </w:style>
  <w:style w:type="character" w:customStyle="1" w:styleId="Kursiv">
    <w:name w:val="Kursiv"/>
    <w:basedOn w:val="Absatz-Standardschriftart"/>
    <w:uiPriority w:val="1"/>
    <w:qFormat/>
    <w:rsid w:val="00D91507"/>
    <w:rPr>
      <w:i/>
    </w:rPr>
  </w:style>
  <w:style w:type="character" w:customStyle="1" w:styleId="s3">
    <w:name w:val="s3"/>
    <w:basedOn w:val="Absatz-Standardschriftart"/>
    <w:rsid w:val="0049382E"/>
    <w:rPr>
      <w:rFonts w:ascii="Arial" w:hAnsi="Arial" w:cs="Arial" w:hint="default"/>
      <w:b w:val="0"/>
      <w:bCs w:val="0"/>
      <w:i w:val="0"/>
      <w:iCs w:val="0"/>
      <w:sz w:val="42"/>
      <w:szCs w:val="42"/>
    </w:rPr>
  </w:style>
  <w:style w:type="character" w:customStyle="1" w:styleId="s7">
    <w:name w:val="s7"/>
    <w:basedOn w:val="Absatz-Standardschriftart"/>
    <w:rsid w:val="0049382E"/>
    <w:rPr>
      <w:rFonts w:ascii="Arial" w:hAnsi="Arial" w:cs="Arial" w:hint="default"/>
      <w:b w:val="0"/>
      <w:bCs w:val="0"/>
      <w:i w:val="0"/>
      <w:iCs w:val="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08086312">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261256441">
      <w:bodyDiv w:val="1"/>
      <w:marLeft w:val="0"/>
      <w:marRight w:val="0"/>
      <w:marTop w:val="0"/>
      <w:marBottom w:val="0"/>
      <w:divBdr>
        <w:top w:val="none" w:sz="0" w:space="0" w:color="auto"/>
        <w:left w:val="none" w:sz="0" w:space="0" w:color="auto"/>
        <w:bottom w:val="none" w:sz="0" w:space="0" w:color="auto"/>
        <w:right w:val="none" w:sz="0" w:space="0" w:color="auto"/>
      </w:divBdr>
    </w:div>
    <w:div w:id="387534040">
      <w:bodyDiv w:val="1"/>
      <w:marLeft w:val="0"/>
      <w:marRight w:val="0"/>
      <w:marTop w:val="0"/>
      <w:marBottom w:val="0"/>
      <w:divBdr>
        <w:top w:val="none" w:sz="0" w:space="0" w:color="auto"/>
        <w:left w:val="none" w:sz="0" w:space="0" w:color="auto"/>
        <w:bottom w:val="none" w:sz="0" w:space="0" w:color="auto"/>
        <w:right w:val="none" w:sz="0" w:space="0" w:color="auto"/>
      </w:divBdr>
    </w:div>
    <w:div w:id="398939484">
      <w:bodyDiv w:val="1"/>
      <w:marLeft w:val="0"/>
      <w:marRight w:val="0"/>
      <w:marTop w:val="0"/>
      <w:marBottom w:val="0"/>
      <w:divBdr>
        <w:top w:val="none" w:sz="0" w:space="0" w:color="auto"/>
        <w:left w:val="none" w:sz="0" w:space="0" w:color="auto"/>
        <w:bottom w:val="none" w:sz="0" w:space="0" w:color="auto"/>
        <w:right w:val="none" w:sz="0" w:space="0" w:color="auto"/>
      </w:divBdr>
    </w:div>
    <w:div w:id="455179806">
      <w:bodyDiv w:val="1"/>
      <w:marLeft w:val="0"/>
      <w:marRight w:val="0"/>
      <w:marTop w:val="0"/>
      <w:marBottom w:val="0"/>
      <w:divBdr>
        <w:top w:val="none" w:sz="0" w:space="0" w:color="auto"/>
        <w:left w:val="none" w:sz="0" w:space="0" w:color="auto"/>
        <w:bottom w:val="none" w:sz="0" w:space="0" w:color="auto"/>
        <w:right w:val="none" w:sz="0" w:space="0" w:color="auto"/>
      </w:divBdr>
    </w:div>
    <w:div w:id="628826834">
      <w:bodyDiv w:val="1"/>
      <w:marLeft w:val="0"/>
      <w:marRight w:val="0"/>
      <w:marTop w:val="0"/>
      <w:marBottom w:val="0"/>
      <w:divBdr>
        <w:top w:val="none" w:sz="0" w:space="0" w:color="auto"/>
        <w:left w:val="none" w:sz="0" w:space="0" w:color="auto"/>
        <w:bottom w:val="none" w:sz="0" w:space="0" w:color="auto"/>
        <w:right w:val="none" w:sz="0" w:space="0" w:color="auto"/>
      </w:divBdr>
    </w:div>
    <w:div w:id="63414663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54084091">
      <w:bodyDiv w:val="1"/>
      <w:marLeft w:val="0"/>
      <w:marRight w:val="0"/>
      <w:marTop w:val="0"/>
      <w:marBottom w:val="0"/>
      <w:divBdr>
        <w:top w:val="none" w:sz="0" w:space="0" w:color="auto"/>
        <w:left w:val="none" w:sz="0" w:space="0" w:color="auto"/>
        <w:bottom w:val="none" w:sz="0" w:space="0" w:color="auto"/>
        <w:right w:val="none" w:sz="0" w:space="0" w:color="auto"/>
      </w:divBdr>
    </w:div>
    <w:div w:id="800421125">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05245797">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5895457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173491868">
      <w:bodyDiv w:val="1"/>
      <w:marLeft w:val="0"/>
      <w:marRight w:val="0"/>
      <w:marTop w:val="0"/>
      <w:marBottom w:val="0"/>
      <w:divBdr>
        <w:top w:val="none" w:sz="0" w:space="0" w:color="auto"/>
        <w:left w:val="none" w:sz="0" w:space="0" w:color="auto"/>
        <w:bottom w:val="none" w:sz="0" w:space="0" w:color="auto"/>
        <w:right w:val="none" w:sz="0" w:space="0" w:color="auto"/>
      </w:divBdr>
    </w:div>
    <w:div w:id="1218201149">
      <w:bodyDiv w:val="1"/>
      <w:marLeft w:val="0"/>
      <w:marRight w:val="0"/>
      <w:marTop w:val="0"/>
      <w:marBottom w:val="0"/>
      <w:divBdr>
        <w:top w:val="none" w:sz="0" w:space="0" w:color="auto"/>
        <w:left w:val="none" w:sz="0" w:space="0" w:color="auto"/>
        <w:bottom w:val="none" w:sz="0" w:space="0" w:color="auto"/>
        <w:right w:val="none" w:sz="0" w:space="0" w:color="auto"/>
      </w:divBdr>
    </w:div>
    <w:div w:id="1223372047">
      <w:bodyDiv w:val="1"/>
      <w:marLeft w:val="0"/>
      <w:marRight w:val="0"/>
      <w:marTop w:val="0"/>
      <w:marBottom w:val="0"/>
      <w:divBdr>
        <w:top w:val="none" w:sz="0" w:space="0" w:color="auto"/>
        <w:left w:val="none" w:sz="0" w:space="0" w:color="auto"/>
        <w:bottom w:val="none" w:sz="0" w:space="0" w:color="auto"/>
        <w:right w:val="none" w:sz="0" w:space="0" w:color="auto"/>
      </w:divBdr>
    </w:div>
    <w:div w:id="1233731850">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42512665">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6584977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569682897">
      <w:bodyDiv w:val="1"/>
      <w:marLeft w:val="0"/>
      <w:marRight w:val="0"/>
      <w:marTop w:val="0"/>
      <w:marBottom w:val="0"/>
      <w:divBdr>
        <w:top w:val="none" w:sz="0" w:space="0" w:color="auto"/>
        <w:left w:val="none" w:sz="0" w:space="0" w:color="auto"/>
        <w:bottom w:val="none" w:sz="0" w:space="0" w:color="auto"/>
        <w:right w:val="none" w:sz="0" w:space="0" w:color="auto"/>
      </w:divBdr>
    </w:div>
    <w:div w:id="1634944630">
      <w:bodyDiv w:val="1"/>
      <w:marLeft w:val="0"/>
      <w:marRight w:val="0"/>
      <w:marTop w:val="0"/>
      <w:marBottom w:val="0"/>
      <w:divBdr>
        <w:top w:val="none" w:sz="0" w:space="0" w:color="auto"/>
        <w:left w:val="none" w:sz="0" w:space="0" w:color="auto"/>
        <w:bottom w:val="none" w:sz="0" w:space="0" w:color="auto"/>
        <w:right w:val="none" w:sz="0" w:space="0" w:color="auto"/>
      </w:divBdr>
      <w:divsChild>
        <w:div w:id="316763932">
          <w:marLeft w:val="446"/>
          <w:marRight w:val="0"/>
          <w:marTop w:val="0"/>
          <w:marBottom w:val="0"/>
          <w:divBdr>
            <w:top w:val="none" w:sz="0" w:space="0" w:color="auto"/>
            <w:left w:val="none" w:sz="0" w:space="0" w:color="auto"/>
            <w:bottom w:val="none" w:sz="0" w:space="0" w:color="auto"/>
            <w:right w:val="none" w:sz="0" w:space="0" w:color="auto"/>
          </w:divBdr>
        </w:div>
        <w:div w:id="1392071790">
          <w:marLeft w:val="446"/>
          <w:marRight w:val="0"/>
          <w:marTop w:val="0"/>
          <w:marBottom w:val="0"/>
          <w:divBdr>
            <w:top w:val="none" w:sz="0" w:space="0" w:color="auto"/>
            <w:left w:val="none" w:sz="0" w:space="0" w:color="auto"/>
            <w:bottom w:val="none" w:sz="0" w:space="0" w:color="auto"/>
            <w:right w:val="none" w:sz="0" w:space="0" w:color="auto"/>
          </w:divBdr>
        </w:div>
        <w:div w:id="581527743">
          <w:marLeft w:val="446"/>
          <w:marRight w:val="0"/>
          <w:marTop w:val="0"/>
          <w:marBottom w:val="0"/>
          <w:divBdr>
            <w:top w:val="none" w:sz="0" w:space="0" w:color="auto"/>
            <w:left w:val="none" w:sz="0" w:space="0" w:color="auto"/>
            <w:bottom w:val="none" w:sz="0" w:space="0" w:color="auto"/>
            <w:right w:val="none" w:sz="0" w:space="0" w:color="auto"/>
          </w:divBdr>
        </w:div>
        <w:div w:id="265234581">
          <w:marLeft w:val="446"/>
          <w:marRight w:val="0"/>
          <w:marTop w:val="0"/>
          <w:marBottom w:val="0"/>
          <w:divBdr>
            <w:top w:val="none" w:sz="0" w:space="0" w:color="auto"/>
            <w:left w:val="none" w:sz="0" w:space="0" w:color="auto"/>
            <w:bottom w:val="none" w:sz="0" w:space="0" w:color="auto"/>
            <w:right w:val="none" w:sz="0" w:space="0" w:color="auto"/>
          </w:divBdr>
        </w:div>
        <w:div w:id="1899634502">
          <w:marLeft w:val="446"/>
          <w:marRight w:val="0"/>
          <w:marTop w:val="0"/>
          <w:marBottom w:val="0"/>
          <w:divBdr>
            <w:top w:val="none" w:sz="0" w:space="0" w:color="auto"/>
            <w:left w:val="none" w:sz="0" w:space="0" w:color="auto"/>
            <w:bottom w:val="none" w:sz="0" w:space="0" w:color="auto"/>
            <w:right w:val="none" w:sz="0" w:space="0" w:color="auto"/>
          </w:divBdr>
        </w:div>
      </w:divsChild>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85368201">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5275494C-6874-4984-AC9D-4A722724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982</cp:revision>
  <cp:lastPrinted>2019-08-06T12:14:00Z</cp:lastPrinted>
  <dcterms:created xsi:type="dcterms:W3CDTF">2018-03-15T15:46:00Z</dcterms:created>
  <dcterms:modified xsi:type="dcterms:W3CDTF">2021-11-01T15:25:00Z</dcterms:modified>
</cp:coreProperties>
</file>